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t>Review Questions</w:t>
            </w:r>
          </w:p>
          <w:p w:rsidR="008550EB" w:rsidRDefault="007E5254">
            <w:pPr>
              <w:pStyle w:val="p"/>
            </w:pPr>
            <w:r>
              <w:br/>
            </w:r>
            <w:r>
              <w:rPr>
                <w:b/>
                <w:bCs/>
                <w:color w:val="000000"/>
                <w:sz w:val="24"/>
              </w:rPr>
              <w:t>Directions: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</w:rPr>
              <w:t>Locate each heading below in your textbook. Then use the information under the correct heading and subheading to help you write each answer.</w:t>
            </w:r>
          </w:p>
          <w:p w:rsidR="008550EB" w:rsidRPr="009470D6" w:rsidRDefault="007E5254">
            <w:pPr>
              <w:pStyle w:val="p"/>
              <w:rPr>
                <w:sz w:val="28"/>
                <w:szCs w:val="28"/>
              </w:rPr>
            </w:pPr>
            <w:r>
              <w:br/>
            </w:r>
            <w:r w:rsidRPr="009470D6">
              <w:rPr>
                <w:b/>
                <w:bCs/>
                <w:color w:val="000000"/>
                <w:sz w:val="28"/>
                <w:szCs w:val="28"/>
              </w:rPr>
              <w:t>I. Functionalism and Gender</w:t>
            </w:r>
          </w:p>
          <w:p w:rsidR="008550EB" w:rsidRDefault="007E5254" w:rsidP="009470D6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1. </w:t>
            </w:r>
            <w:r>
              <w:rPr>
                <w:color w:val="000000"/>
                <w:sz w:val="24"/>
              </w:rPr>
              <w:t xml:space="preserve">According to functionalists, why did a </w:t>
            </w:r>
            <w:r>
              <w:rPr>
                <w:color w:val="000000"/>
                <w:sz w:val="24"/>
              </w:rPr>
              <w:t>division of labor that was based on sex survive?</w:t>
            </w:r>
          </w:p>
          <w:p w:rsidR="009470D6" w:rsidRDefault="009470D6">
            <w:pPr>
              <w:pStyle w:val="p"/>
              <w:rPr>
                <w:color w:val="000000"/>
                <w:sz w:val="24"/>
              </w:rPr>
            </w:pPr>
          </w:p>
          <w:p w:rsidR="009470D6" w:rsidRDefault="009470D6">
            <w:pPr>
              <w:pStyle w:val="p"/>
            </w:pP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2. </w:t>
            </w:r>
            <w:r>
              <w:rPr>
                <w:color w:val="000000"/>
                <w:sz w:val="24"/>
              </w:rPr>
              <w:t>How did this thinking change as agrarian societies became industrialized?</w:t>
            </w:r>
          </w:p>
          <w:p w:rsidR="009470D6" w:rsidRDefault="009470D6">
            <w:pPr>
              <w:pStyle w:val="p"/>
              <w:rPr>
                <w:color w:val="000000"/>
                <w:sz w:val="24"/>
              </w:rPr>
            </w:pPr>
          </w:p>
          <w:p w:rsidR="009470D6" w:rsidRDefault="009470D6">
            <w:pPr>
              <w:pStyle w:val="p"/>
            </w:pP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t>II. Conflict Theory and Gender</w:t>
            </w:r>
          </w:p>
          <w:p w:rsidR="008550EB" w:rsidRDefault="007E5254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3. </w:t>
            </w:r>
            <w:r>
              <w:rPr>
                <w:color w:val="000000"/>
                <w:sz w:val="24"/>
              </w:rPr>
              <w:t>How does conflict theory connect gender differences to people’s access to resources?</w:t>
            </w:r>
          </w:p>
          <w:p w:rsidR="009470D6" w:rsidRDefault="009470D6">
            <w:pPr>
              <w:pStyle w:val="p"/>
              <w:rPr>
                <w:color w:val="000000"/>
                <w:sz w:val="24"/>
              </w:rPr>
            </w:pPr>
          </w:p>
          <w:p w:rsidR="009470D6" w:rsidRDefault="009470D6">
            <w:pPr>
              <w:pStyle w:val="p"/>
            </w:pP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4. </w:t>
            </w:r>
            <w:r>
              <w:rPr>
                <w:color w:val="000000"/>
                <w:sz w:val="24"/>
              </w:rPr>
              <w:t>In what sense does “gender apartheid” take this view to the extreme?</w:t>
            </w:r>
          </w:p>
          <w:p w:rsidR="009470D6" w:rsidRDefault="009470D6">
            <w:pPr>
              <w:pStyle w:val="p"/>
              <w:rPr>
                <w:color w:val="000000"/>
                <w:sz w:val="24"/>
              </w:rPr>
            </w:pPr>
          </w:p>
          <w:p w:rsidR="009470D6" w:rsidRDefault="009470D6">
            <w:pPr>
              <w:pStyle w:val="p"/>
            </w:pP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5. </w:t>
            </w:r>
            <w:r>
              <w:rPr>
                <w:color w:val="000000"/>
                <w:sz w:val="24"/>
              </w:rPr>
              <w:t>Why do conflict theorists approve of women’s moving into careers once reserved for men?</w:t>
            </w:r>
          </w:p>
          <w:p w:rsidR="009470D6" w:rsidRDefault="009470D6">
            <w:pPr>
              <w:pStyle w:val="p"/>
              <w:rPr>
                <w:color w:val="000000"/>
                <w:sz w:val="24"/>
              </w:rPr>
            </w:pPr>
          </w:p>
          <w:p w:rsidR="009470D6" w:rsidRDefault="009470D6">
            <w:pPr>
              <w:pStyle w:val="p"/>
            </w:pP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t>III. Symbolic Interactionism and Gender</w:t>
            </w:r>
          </w:p>
          <w:p w:rsidR="008550EB" w:rsidRDefault="007E5254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6. </w:t>
            </w:r>
            <w:r>
              <w:rPr>
                <w:color w:val="000000"/>
                <w:sz w:val="24"/>
              </w:rPr>
              <w:t>According to symbolic interactionists, how</w:t>
            </w:r>
            <w:r>
              <w:rPr>
                <w:color w:val="000000"/>
                <w:sz w:val="24"/>
              </w:rPr>
              <w:t xml:space="preserve"> do children acquire gender?</w:t>
            </w:r>
          </w:p>
          <w:p w:rsidR="009470D6" w:rsidRDefault="009470D6">
            <w:pPr>
              <w:pStyle w:val="p"/>
              <w:rPr>
                <w:color w:val="000000"/>
                <w:sz w:val="24"/>
              </w:rPr>
            </w:pPr>
          </w:p>
          <w:p w:rsidR="009470D6" w:rsidRDefault="009470D6">
            <w:pPr>
              <w:pStyle w:val="p"/>
            </w:pP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7. </w:t>
            </w:r>
            <w:r>
              <w:rPr>
                <w:color w:val="000000"/>
                <w:sz w:val="24"/>
              </w:rPr>
              <w:t>What does research indicate about gender socialization during the school years?</w:t>
            </w:r>
          </w:p>
          <w:p w:rsidR="009470D6" w:rsidRDefault="009470D6">
            <w:pPr>
              <w:pStyle w:val="p"/>
              <w:rPr>
                <w:color w:val="000000"/>
                <w:sz w:val="24"/>
              </w:rPr>
            </w:pPr>
          </w:p>
          <w:p w:rsidR="009470D6" w:rsidRDefault="009470D6">
            <w:pPr>
              <w:pStyle w:val="p"/>
            </w:pP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8. </w:t>
            </w:r>
            <w:r>
              <w:rPr>
                <w:color w:val="000000"/>
                <w:sz w:val="24"/>
              </w:rPr>
              <w:t>How does adolescent peer pressure affect gender roles?</w:t>
            </w:r>
          </w:p>
          <w:p w:rsidR="009470D6" w:rsidRDefault="009470D6">
            <w:pPr>
              <w:pStyle w:val="p"/>
              <w:rPr>
                <w:color w:val="000000"/>
                <w:sz w:val="24"/>
              </w:rPr>
            </w:pPr>
          </w:p>
          <w:p w:rsidR="009470D6" w:rsidRDefault="009470D6">
            <w:pPr>
              <w:pStyle w:val="p"/>
            </w:pP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D6" w:rsidRDefault="009470D6">
            <w:pPr>
              <w:pStyle w:val="p"/>
              <w:rPr>
                <w:b/>
                <w:bCs/>
                <w:color w:val="000000"/>
                <w:sz w:val="28"/>
                <w:szCs w:val="28"/>
              </w:rPr>
            </w:pPr>
          </w:p>
          <w:p w:rsidR="009470D6" w:rsidRDefault="009470D6">
            <w:pPr>
              <w:pStyle w:val="p"/>
              <w:rPr>
                <w:b/>
                <w:bCs/>
                <w:color w:val="000000"/>
                <w:sz w:val="28"/>
                <w:szCs w:val="28"/>
              </w:rPr>
            </w:pPr>
          </w:p>
          <w:p w:rsidR="009470D6" w:rsidRDefault="009470D6">
            <w:pPr>
              <w:pStyle w:val="p"/>
              <w:rPr>
                <w:b/>
                <w:bCs/>
                <w:color w:val="000000"/>
                <w:sz w:val="28"/>
                <w:szCs w:val="28"/>
              </w:rPr>
            </w:pPr>
          </w:p>
          <w:p w:rsidR="009470D6" w:rsidRDefault="009470D6">
            <w:pPr>
              <w:pStyle w:val="p"/>
              <w:rPr>
                <w:b/>
                <w:bCs/>
                <w:color w:val="000000"/>
                <w:sz w:val="28"/>
                <w:szCs w:val="28"/>
              </w:rPr>
            </w:pPr>
          </w:p>
          <w:p w:rsidR="009470D6" w:rsidRDefault="009470D6">
            <w:pPr>
              <w:pStyle w:val="p"/>
              <w:rPr>
                <w:b/>
                <w:bCs/>
                <w:color w:val="000000"/>
                <w:sz w:val="28"/>
                <w:szCs w:val="28"/>
              </w:rPr>
            </w:pPr>
          </w:p>
          <w:p w:rsidR="009470D6" w:rsidRDefault="009470D6">
            <w:pPr>
              <w:pStyle w:val="p"/>
              <w:rPr>
                <w:b/>
                <w:bCs/>
                <w:color w:val="000000"/>
                <w:sz w:val="28"/>
                <w:szCs w:val="28"/>
              </w:rPr>
            </w:pPr>
          </w:p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Summary and Reflection</w:t>
            </w:r>
          </w:p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Directions: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</w:rPr>
              <w:t xml:space="preserve">Summarize the main ideas of this lesson by </w:t>
            </w:r>
            <w:r>
              <w:rPr>
                <w:color w:val="000000"/>
                <w:sz w:val="24"/>
              </w:rPr>
              <w:t>answering the questions below.</w:t>
            </w:r>
          </w:p>
          <w:p w:rsidR="008550EB" w:rsidRDefault="007E5254">
            <w:pPr>
              <w:pStyle w:val="p"/>
            </w:pPr>
            <w:r>
              <w:rPr>
                <w:color w:val="000000"/>
                <w:sz w:val="24"/>
              </w:rPr>
              <w:t>  </w:t>
            </w:r>
          </w:p>
        </w:tc>
      </w:tr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lastRenderedPageBreak/>
              <w:t>9. </w:t>
            </w:r>
            <w:r>
              <w:rPr>
                <w:color w:val="000000"/>
                <w:sz w:val="24"/>
              </w:rPr>
              <w:t>When it comes to gender roles, what do these three theoretical perspectives have in common? What do you think is an important difference among them?</w:t>
            </w:r>
          </w:p>
        </w:tc>
      </w:tr>
    </w:tbl>
    <w:p w:rsidR="008550EB" w:rsidRDefault="008550EB">
      <w:pPr>
        <w:spacing w:after="75"/>
      </w:pPr>
    </w:p>
    <w:p w:rsidR="009470D6" w:rsidRDefault="009470D6">
      <w:pPr>
        <w:spacing w:after="75"/>
      </w:pPr>
    </w:p>
    <w:p w:rsidR="009470D6" w:rsidRDefault="009470D6">
      <w:pPr>
        <w:spacing w:after="75"/>
      </w:pPr>
    </w:p>
    <w:p w:rsidR="009470D6" w:rsidRDefault="009470D6">
      <w:pPr>
        <w:spacing w:after="75"/>
      </w:pPr>
    </w:p>
    <w:p w:rsidR="009470D6" w:rsidRDefault="009470D6">
      <w:pPr>
        <w:spacing w:after="75"/>
      </w:pPr>
    </w:p>
    <w:p w:rsidR="009470D6" w:rsidRDefault="009470D6">
      <w:pPr>
        <w:spacing w:after="75"/>
      </w:pPr>
    </w:p>
    <w:p w:rsidR="009470D6" w:rsidRDefault="009470D6">
      <w:pPr>
        <w:spacing w:after="75"/>
      </w:pPr>
    </w:p>
    <w:p w:rsidR="009470D6" w:rsidRDefault="009470D6">
      <w:pPr>
        <w:spacing w:after="75"/>
      </w:pPr>
    </w:p>
    <w:p w:rsidR="009470D6" w:rsidRDefault="009470D6">
      <w:pPr>
        <w:spacing w:after="75"/>
      </w:pPr>
    </w:p>
    <w:p w:rsidR="009470D6" w:rsidRDefault="009470D6">
      <w:pPr>
        <w:spacing w:after="75"/>
      </w:pPr>
    </w:p>
    <w:p w:rsidR="009470D6" w:rsidRDefault="009470D6" w:rsidP="009470D6">
      <w:pPr>
        <w:rPr>
          <w:rFonts w:eastAsia="Calibri" w:cs="Times New Roman"/>
          <w:b/>
          <w:sz w:val="24"/>
        </w:rPr>
      </w:pPr>
      <w:r w:rsidRPr="001A37EC">
        <w:rPr>
          <w:rFonts w:eastAsia="Calibri" w:cs="Times New Roman"/>
          <w:b/>
          <w:sz w:val="24"/>
          <w:u w:val="single"/>
        </w:rPr>
        <w:t xml:space="preserve">VOCABULARY: Chapter </w:t>
      </w:r>
      <w:r>
        <w:rPr>
          <w:rFonts w:eastAsia="Calibri" w:cs="Times New Roman"/>
          <w:b/>
          <w:sz w:val="24"/>
          <w:u w:val="single"/>
        </w:rPr>
        <w:t>9</w:t>
      </w:r>
      <w:r w:rsidRPr="001A37EC">
        <w:rPr>
          <w:rFonts w:eastAsia="Calibri" w:cs="Times New Roman"/>
          <w:b/>
          <w:sz w:val="24"/>
          <w:u w:val="single"/>
        </w:rPr>
        <w:t xml:space="preserve"> Lesson </w:t>
      </w:r>
      <w:r>
        <w:rPr>
          <w:rFonts w:eastAsia="Calibri" w:cs="Times New Roman"/>
          <w:b/>
          <w:sz w:val="24"/>
          <w:u w:val="single"/>
        </w:rPr>
        <w:t>2</w:t>
      </w:r>
      <w:r w:rsidRPr="001A37EC">
        <w:rPr>
          <w:rFonts w:eastAsia="Calibri" w:cs="Times New Roman"/>
          <w:b/>
          <w:sz w:val="24"/>
          <w:u w:val="single"/>
        </w:rPr>
        <w:t>:</w:t>
      </w:r>
      <w:r>
        <w:rPr>
          <w:rFonts w:eastAsia="Calibri" w:cs="Times New Roman"/>
          <w:b/>
          <w:sz w:val="24"/>
        </w:rPr>
        <w:t xml:space="preserve"> </w:t>
      </w:r>
      <w:r w:rsidRPr="001A37EC">
        <w:rPr>
          <w:rFonts w:eastAsia="Calibri" w:cs="Times New Roman"/>
          <w:b/>
          <w:sz w:val="24"/>
        </w:rPr>
        <w:t>DEFINE/EXPLAIN the following words/terms IYOWs:</w:t>
      </w:r>
    </w:p>
    <w:p w:rsidR="009470D6" w:rsidRDefault="009470D6">
      <w:pPr>
        <w:spacing w:after="75"/>
      </w:pPr>
    </w:p>
    <w:p w:rsidR="009470D6" w:rsidRDefault="009470D6" w:rsidP="009470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02C47">
        <w:rPr>
          <w:sz w:val="24"/>
          <w:szCs w:val="24"/>
        </w:rPr>
        <w:t>Gender Socialization</w:t>
      </w:r>
      <w:r w:rsidRPr="00E02C47">
        <w:rPr>
          <w:sz w:val="24"/>
          <w:szCs w:val="24"/>
        </w:rPr>
        <w:t>:</w:t>
      </w:r>
    </w:p>
    <w:p w:rsidR="00E02C47" w:rsidRDefault="00E02C47" w:rsidP="00E02C47">
      <w:pPr>
        <w:spacing w:line="480" w:lineRule="auto"/>
        <w:rPr>
          <w:sz w:val="24"/>
        </w:rPr>
      </w:pPr>
    </w:p>
    <w:p w:rsidR="00E02C47" w:rsidRPr="00E02C47" w:rsidRDefault="00E02C47" w:rsidP="00E02C47">
      <w:pPr>
        <w:spacing w:line="480" w:lineRule="auto"/>
        <w:rPr>
          <w:sz w:val="24"/>
        </w:rPr>
      </w:pPr>
      <w:bookmarkStart w:id="0" w:name="_GoBack"/>
      <w:bookmarkEnd w:id="0"/>
    </w:p>
    <w:p w:rsidR="00E02C47" w:rsidRPr="00E02C47" w:rsidRDefault="00E02C47" w:rsidP="009470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color w:val="000000"/>
          <w:sz w:val="24"/>
          <w:szCs w:val="24"/>
          <w:bdr w:val="nil"/>
        </w:rPr>
        <w:t>Gender A</w:t>
      </w:r>
      <w:r>
        <w:rPr>
          <w:color w:val="000000"/>
          <w:sz w:val="24"/>
          <w:szCs w:val="24"/>
          <w:bdr w:val="nil"/>
        </w:rPr>
        <w:t>partheid</w:t>
      </w:r>
      <w:r>
        <w:rPr>
          <w:color w:val="000000"/>
          <w:sz w:val="24"/>
          <w:szCs w:val="24"/>
          <w:bdr w:val="nil"/>
        </w:rPr>
        <w:t>:</w:t>
      </w:r>
    </w:p>
    <w:p w:rsidR="009470D6" w:rsidRDefault="009470D6">
      <w:pPr>
        <w:spacing w:after="75"/>
      </w:pPr>
    </w:p>
    <w:p w:rsidR="008550EB" w:rsidRDefault="007E5254">
      <w:pPr>
        <w:pageBreakBefore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Answer Key</w:t>
      </w:r>
      <w: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1. </w:t>
            </w:r>
            <w:r>
              <w:rPr>
                <w:color w:val="000000"/>
                <w:sz w:val="24"/>
              </w:rPr>
              <w:t>Early cultures found the division efficient: Men we</w:t>
            </w:r>
            <w:r>
              <w:rPr>
                <w:color w:val="000000"/>
                <w:sz w:val="24"/>
              </w:rPr>
              <w:t>re physically stronger and more expendable than women, so it generally made sense for them to take on the dangerous roles of hunters and protectors.</w:t>
            </w: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2. </w:t>
            </w:r>
            <w:r>
              <w:rPr>
                <w:color w:val="000000"/>
                <w:sz w:val="24"/>
              </w:rPr>
              <w:t>Many industrial jobs could be done by women as well as by men; furthermore, group survival became less</w:t>
            </w:r>
            <w:r>
              <w:rPr>
                <w:color w:val="000000"/>
                <w:sz w:val="24"/>
              </w:rPr>
              <w:t xml:space="preserve"> dependent upon the survival of one sex rather than the other.</w:t>
            </w: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3. </w:t>
            </w:r>
            <w:r>
              <w:rPr>
                <w:color w:val="000000"/>
                <w:sz w:val="24"/>
              </w:rPr>
              <w:t>According to conflict theory, men have tried to maintain their dominance over women out of a desire to keep their greater access to political, economic, and social resources.</w:t>
            </w: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4. </w:t>
            </w:r>
            <w:r>
              <w:rPr>
                <w:color w:val="000000"/>
                <w:sz w:val="24"/>
              </w:rPr>
              <w:t>In order</w:t>
            </w:r>
            <w:r>
              <w:rPr>
                <w:color w:val="000000"/>
                <w:sz w:val="24"/>
              </w:rPr>
              <w:t xml:space="preserve"> to keep male dominance strong, “gender apartheid” imposes restrictions so that women of the culture are seen and heard as little as possible.</w:t>
            </w: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5. </w:t>
            </w:r>
            <w:r>
              <w:rPr>
                <w:color w:val="000000"/>
                <w:sz w:val="24"/>
              </w:rPr>
              <w:t xml:space="preserve">Conflict theorists believe that this move leads to fairer access to resources, helps to reform dysfunctions </w:t>
            </w:r>
            <w:r>
              <w:rPr>
                <w:color w:val="000000"/>
                <w:sz w:val="24"/>
              </w:rPr>
              <w:t>of gender roles, and is more “functional” for society in general.</w:t>
            </w: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6. </w:t>
            </w:r>
            <w:r>
              <w:rPr>
                <w:color w:val="000000"/>
                <w:sz w:val="24"/>
              </w:rPr>
              <w:t>Gender, or how boys and girls are “supposed to act,” is taught by parents and other relatives, teachers, peers, and by the mass media.</w:t>
            </w: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7. </w:t>
            </w:r>
            <w:r>
              <w:rPr>
                <w:color w:val="000000"/>
                <w:sz w:val="24"/>
              </w:rPr>
              <w:t>From preschool through college, it appears th</w:t>
            </w:r>
            <w:r>
              <w:rPr>
                <w:color w:val="000000"/>
                <w:sz w:val="24"/>
              </w:rPr>
              <w:t>at boys are encouraged to be academically assertive and competitive while girls are encouraged to be academically passive, to dislike math and science, and to defer to boys.</w:t>
            </w: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8. </w:t>
            </w:r>
            <w:r>
              <w:rPr>
                <w:color w:val="000000"/>
                <w:sz w:val="24"/>
              </w:rPr>
              <w:t>To get acceptance and respect from their peers, teens are pressured to confor</w:t>
            </w:r>
            <w:r>
              <w:rPr>
                <w:color w:val="000000"/>
                <w:sz w:val="24"/>
              </w:rPr>
              <w:t>m to traditional gender roles.</w:t>
            </w:r>
          </w:p>
        </w:tc>
      </w:tr>
    </w:tbl>
    <w:p w:rsidR="008550EB" w:rsidRDefault="008550E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50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0EB" w:rsidRDefault="007E5254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9. </w:t>
            </w:r>
            <w:r>
              <w:rPr>
                <w:color w:val="000000"/>
                <w:sz w:val="24"/>
              </w:rPr>
              <w:t xml:space="preserve">A complete answer should include: All three perspectives recognize that men historically have been dominant over women—and that, to a large extent, they still are. Students may suggest that the most important difference </w:t>
            </w:r>
            <w:r>
              <w:rPr>
                <w:color w:val="000000"/>
                <w:sz w:val="24"/>
              </w:rPr>
              <w:t>is in the justification for that dominance. Functionalism points out that it was justified as the most effective system in preindustrial societies; conflict theory, that it has been justified by men who have wanted to keep their greater access to resources</w:t>
            </w:r>
            <w:r>
              <w:rPr>
                <w:color w:val="000000"/>
                <w:sz w:val="24"/>
              </w:rPr>
              <w:t>; symbolic interactionism, that it may be justified because traditional gender roles have been in place for such a long time that it is easier not to challenge them.</w:t>
            </w:r>
          </w:p>
        </w:tc>
      </w:tr>
    </w:tbl>
    <w:p w:rsidR="008550EB" w:rsidRDefault="008550EB">
      <w:pPr>
        <w:spacing w:after="75"/>
      </w:pPr>
    </w:p>
    <w:p w:rsidR="008550EB" w:rsidRDefault="008550EB">
      <w:pPr>
        <w:spacing w:after="75"/>
      </w:pPr>
    </w:p>
    <w:sectPr w:rsidR="008550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54" w:rsidRDefault="007E5254">
      <w:r>
        <w:separator/>
      </w:r>
    </w:p>
  </w:endnote>
  <w:endnote w:type="continuationSeparator" w:id="0">
    <w:p w:rsidR="007E5254" w:rsidRDefault="007E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20"/>
      <w:gridCol w:w="1080"/>
    </w:tblGrid>
    <w:tr w:rsidR="008550EB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8550EB" w:rsidRDefault="007E5254">
          <w:r>
            <w:rPr>
              <w:i/>
              <w:iCs/>
              <w:szCs w:val="16"/>
            </w:rPr>
            <w:t xml:space="preserve">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8550EB" w:rsidRDefault="007E5254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B16694">
            <w:fldChar w:fldCharType="separate"/>
          </w:r>
          <w:r w:rsidR="00E02C47">
            <w:rPr>
              <w:noProof/>
            </w:rPr>
            <w:t>3</w:t>
          </w:r>
          <w:r>
            <w:fldChar w:fldCharType="end"/>
          </w:r>
        </w:p>
      </w:tc>
    </w:tr>
  </w:tbl>
  <w:p w:rsidR="008550EB" w:rsidRDefault="008550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54" w:rsidRDefault="007E5254">
      <w:r>
        <w:separator/>
      </w:r>
    </w:p>
  </w:footnote>
  <w:footnote w:type="continuationSeparator" w:id="0">
    <w:p w:rsidR="007E5254" w:rsidRDefault="007E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8550EB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6"/>
            <w:gridCol w:w="4369"/>
          </w:tblGrid>
          <w:tr w:rsidR="008550EB" w:rsidRPr="009470D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50EB" w:rsidRPr="009470D6" w:rsidRDefault="007E5254">
                <w:pPr>
                  <w:rPr>
                    <w:b/>
                    <w:sz w:val="28"/>
                    <w:szCs w:val="28"/>
                  </w:rPr>
                </w:pPr>
                <w:r w:rsidRPr="009470D6">
                  <w:rPr>
                    <w:b/>
                    <w:sz w:val="28"/>
                    <w:szCs w:val="28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50EB" w:rsidRPr="009470D6" w:rsidRDefault="007E5254">
                <w:pPr>
                  <w:rPr>
                    <w:b/>
                    <w:sz w:val="28"/>
                    <w:szCs w:val="28"/>
                  </w:rPr>
                </w:pPr>
                <w:r w:rsidRPr="009470D6">
                  <w:rPr>
                    <w:b/>
                    <w:sz w:val="28"/>
                    <w:szCs w:val="28"/>
                  </w:rPr>
                  <w:t> </w:t>
                </w:r>
              </w:p>
            </w:tc>
          </w:tr>
        </w:tbl>
        <w:p w:rsidR="008550EB" w:rsidRPr="009470D6" w:rsidRDefault="008550EB">
          <w:pPr>
            <w:rPr>
              <w:b/>
              <w:sz w:val="28"/>
              <w:szCs w:val="28"/>
            </w:rPr>
          </w:pPr>
        </w:p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4"/>
            <w:gridCol w:w="2550"/>
          </w:tblGrid>
          <w:tr w:rsidR="008550EB" w:rsidRPr="009470D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50EB" w:rsidRPr="009470D6" w:rsidRDefault="007E5254" w:rsidP="009470D6">
                <w:pPr>
                  <w:rPr>
                    <w:b/>
                    <w:sz w:val="28"/>
                    <w:szCs w:val="28"/>
                  </w:rPr>
                </w:pPr>
                <w:r w:rsidRPr="009470D6">
                  <w:rPr>
                    <w:b/>
                    <w:sz w:val="28"/>
                    <w:szCs w:val="28"/>
                  </w:rPr>
                  <w:t> </w:t>
                </w:r>
                <w:r w:rsidR="009470D6" w:rsidRPr="009470D6">
                  <w:rPr>
                    <w:b/>
                    <w:sz w:val="28"/>
                    <w:szCs w:val="28"/>
                  </w:rPr>
                  <w:t>Block</w:t>
                </w:r>
                <w:r w:rsidRPr="009470D6">
                  <w:rPr>
                    <w:b/>
                    <w:sz w:val="28"/>
                    <w:szCs w:val="28"/>
                  </w:rPr>
                  <w:t>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50EB" w:rsidRPr="009470D6" w:rsidRDefault="007E5254">
                <w:pPr>
                  <w:rPr>
                    <w:b/>
                    <w:sz w:val="28"/>
                    <w:szCs w:val="28"/>
                  </w:rPr>
                </w:pPr>
                <w:r w:rsidRPr="009470D6">
                  <w:rPr>
                    <w:b/>
                    <w:sz w:val="28"/>
                    <w:szCs w:val="28"/>
                  </w:rPr>
                  <w:t> </w:t>
                </w:r>
              </w:p>
            </w:tc>
          </w:tr>
        </w:tbl>
        <w:p w:rsidR="008550EB" w:rsidRPr="009470D6" w:rsidRDefault="008550EB">
          <w:pPr>
            <w:rPr>
              <w:b/>
              <w:sz w:val="28"/>
              <w:szCs w:val="28"/>
            </w:rPr>
          </w:pPr>
        </w:p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8"/>
            <w:gridCol w:w="1313"/>
          </w:tblGrid>
          <w:tr w:rsidR="008550EB" w:rsidRPr="009470D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50EB" w:rsidRPr="009470D6" w:rsidRDefault="007E5254">
                <w:pPr>
                  <w:rPr>
                    <w:b/>
                    <w:sz w:val="28"/>
                    <w:szCs w:val="28"/>
                  </w:rPr>
                </w:pPr>
                <w:r w:rsidRPr="009470D6">
                  <w:rPr>
                    <w:b/>
                    <w:sz w:val="28"/>
                    <w:szCs w:val="28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50EB" w:rsidRPr="009470D6" w:rsidRDefault="007E5254">
                <w:pPr>
                  <w:rPr>
                    <w:b/>
                    <w:sz w:val="28"/>
                    <w:szCs w:val="28"/>
                  </w:rPr>
                </w:pPr>
                <w:r w:rsidRPr="009470D6">
                  <w:rPr>
                    <w:b/>
                    <w:sz w:val="28"/>
                    <w:szCs w:val="28"/>
                  </w:rPr>
                  <w:t> </w:t>
                </w:r>
              </w:p>
            </w:tc>
          </w:tr>
        </w:tbl>
        <w:p w:rsidR="008550EB" w:rsidRPr="009470D6" w:rsidRDefault="008550EB">
          <w:pPr>
            <w:rPr>
              <w:b/>
              <w:sz w:val="28"/>
              <w:szCs w:val="28"/>
            </w:rPr>
          </w:pPr>
        </w:p>
      </w:tc>
    </w:tr>
  </w:tbl>
  <w:p w:rsidR="008550EB" w:rsidRDefault="007E5254">
    <w:r>
      <w:br/>
    </w:r>
    <w:r w:rsidR="009470D6">
      <w:rPr>
        <w:b/>
        <w:bCs/>
        <w:color w:val="000000"/>
        <w:sz w:val="28"/>
        <w:szCs w:val="28"/>
        <w:u w:val="single"/>
      </w:rPr>
      <w:t xml:space="preserve">Chapter 10 </w:t>
    </w:r>
    <w:r>
      <w:rPr>
        <w:b/>
        <w:bCs/>
        <w:color w:val="000000"/>
        <w:sz w:val="28"/>
        <w:szCs w:val="28"/>
        <w:u w:val="single"/>
      </w:rPr>
      <w:t>Lesson</w:t>
    </w:r>
    <w:r w:rsidR="009470D6">
      <w:rPr>
        <w:b/>
        <w:bCs/>
        <w:color w:val="000000"/>
        <w:sz w:val="28"/>
        <w:szCs w:val="28"/>
        <w:u w:val="single"/>
      </w:rPr>
      <w:t xml:space="preserve"> </w:t>
    </w:r>
    <w:r>
      <w:rPr>
        <w:b/>
        <w:bCs/>
        <w:color w:val="000000"/>
        <w:sz w:val="28"/>
        <w:szCs w:val="28"/>
        <w:u w:val="single"/>
      </w:rPr>
      <w:t xml:space="preserve">2: </w:t>
    </w:r>
    <w:r w:rsidR="009470D6">
      <w:rPr>
        <w:b/>
        <w:bCs/>
        <w:color w:val="000000"/>
        <w:sz w:val="28"/>
        <w:szCs w:val="28"/>
        <w:u w:val="single"/>
      </w:rPr>
      <w:t xml:space="preserve">Theoretical Perspectives on Gender: </w:t>
    </w:r>
    <w:r>
      <w:rPr>
        <w:b/>
        <w:bCs/>
        <w:color w:val="000000"/>
        <w:sz w:val="28"/>
        <w:szCs w:val="28"/>
        <w:u w:val="single"/>
      </w:rPr>
      <w:t>G</w:t>
    </w:r>
    <w:r w:rsidR="009470D6">
      <w:rPr>
        <w:b/>
        <w:bCs/>
        <w:color w:val="000000"/>
        <w:sz w:val="28"/>
        <w:szCs w:val="28"/>
        <w:u w:val="single"/>
      </w:rPr>
      <w:t>R-VOC</w:t>
    </w:r>
  </w:p>
  <w:p w:rsidR="008550EB" w:rsidRDefault="008550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7A09"/>
    <w:multiLevelType w:val="hybridMultilevel"/>
    <w:tmpl w:val="C17C49C0"/>
    <w:lvl w:ilvl="0" w:tplc="67AE1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EB"/>
    <w:rsid w:val="007E5254"/>
    <w:rsid w:val="008550EB"/>
    <w:rsid w:val="009470D6"/>
    <w:rsid w:val="00B16694"/>
    <w:rsid w:val="00E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07EFA-552C-48CD-9E21-8ED56DF5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uiPriority w:val="99"/>
    <w:unhideWhenUsed/>
    <w:rsid w:val="00947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D6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947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D6"/>
    <w:rPr>
      <w:rFonts w:ascii="Arial" w:eastAsia="Arial" w:hAnsi="Arial" w:cs="Arial"/>
      <w:sz w:val="16"/>
      <w:szCs w:val="24"/>
      <w:bdr w:val="nil"/>
    </w:rPr>
  </w:style>
  <w:style w:type="paragraph" w:styleId="ListParagraph">
    <w:name w:val="List Paragraph"/>
    <w:basedOn w:val="Normal"/>
    <w:uiPriority w:val="34"/>
    <w:qFormat/>
    <w:rsid w:val="009470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10-2: Guided Reading Activity</vt:lpstr>
    </vt:vector>
  </TitlesOfParts>
  <Company>eAssessment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10-2: Guided Reading Activity</dc:title>
  <dc:creator>David Dudley</dc:creator>
  <cp:lastModifiedBy>David Dudley</cp:lastModifiedBy>
  <cp:revision>3</cp:revision>
  <dcterms:created xsi:type="dcterms:W3CDTF">2018-04-23T12:23:00Z</dcterms:created>
  <dcterms:modified xsi:type="dcterms:W3CDTF">2018-04-23T12:36:00Z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GM3DAMZRGEYTKNBQ</vt:lpwstr>
  </property>
</Properties>
</file>