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9E" w:rsidRP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color w:val="000000"/>
          <w:sz w:val="36"/>
          <w:szCs w:val="36"/>
        </w:rPr>
      </w:pPr>
      <w:bookmarkStart w:id="0" w:name="_GoBack"/>
      <w:r w:rsidRPr="0065459E">
        <w:rPr>
          <w:rFonts w:ascii="FranklinGothic-Heavy" w:hAnsi="FranklinGothic-Heavy" w:cs="FranklinGothic-Heavy"/>
          <w:b/>
          <w:color w:val="000000"/>
          <w:sz w:val="36"/>
          <w:szCs w:val="36"/>
        </w:rPr>
        <w:t>The Supreme Court’s Power of Judicial Review</w:t>
      </w:r>
      <w:r w:rsidRPr="0065459E">
        <w:rPr>
          <w:rFonts w:ascii="FranklinGothic-Heavy" w:hAnsi="FranklinGothic-Heavy" w:cs="FranklinGothic-Heavy"/>
          <w:b/>
          <w:color w:val="000000"/>
          <w:sz w:val="36"/>
          <w:szCs w:val="36"/>
        </w:rPr>
        <w:t>:</w:t>
      </w:r>
    </w:p>
    <w:bookmarkEnd w:id="0"/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color w:val="000000"/>
          <w:sz w:val="36"/>
          <w:szCs w:val="36"/>
        </w:rPr>
      </w:pPr>
      <w:r>
        <w:rPr>
          <w:rFonts w:ascii="FranklinGothic-HeavyOblique" w:hAnsi="FranklinGothic-HeavyOblique" w:cs="FranklinGothic-HeavyOblique"/>
          <w:i/>
          <w:iCs/>
          <w:color w:val="000000"/>
          <w:sz w:val="36"/>
          <w:szCs w:val="36"/>
        </w:rPr>
        <w:t xml:space="preserve">Marbury </w:t>
      </w:r>
      <w:r>
        <w:rPr>
          <w:rFonts w:ascii="FranklinGothic-Heavy" w:hAnsi="FranklinGothic-Heavy" w:cs="FranklinGothic-Heavy"/>
          <w:color w:val="000000"/>
          <w:sz w:val="36"/>
          <w:szCs w:val="36"/>
        </w:rPr>
        <w:t xml:space="preserve">v. </w:t>
      </w:r>
      <w:r>
        <w:rPr>
          <w:rFonts w:ascii="FranklinGothic-HeavyOblique" w:hAnsi="FranklinGothic-HeavyOblique" w:cs="FranklinGothic-HeavyOblique"/>
          <w:i/>
          <w:iCs/>
          <w:color w:val="000000"/>
          <w:sz w:val="36"/>
          <w:szCs w:val="36"/>
        </w:rPr>
        <w:t>Madison</w:t>
      </w:r>
      <w:r>
        <w:rPr>
          <w:rFonts w:ascii="FranklinGothic-Heavy" w:hAnsi="FranklinGothic-Heavy" w:cs="FranklinGothic-Heavy"/>
          <w:color w:val="000000"/>
          <w:sz w:val="36"/>
          <w:szCs w:val="36"/>
        </w:rPr>
        <w:t>, 1803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FranklinGothic-Heavy" w:cs="ZapfDingbats"/>
          <w:color w:val="666666"/>
          <w:sz w:val="18"/>
          <w:szCs w:val="18"/>
        </w:rPr>
      </w:pPr>
      <w:r>
        <w:rPr>
          <w:rFonts w:ascii="ZapfDingbats" w:eastAsia="ZapfDingbats" w:hAnsi="FranklinGothic-Heavy" w:cs="ZapfDingbats" w:hint="eastAsia"/>
          <w:color w:val="666666"/>
          <w:sz w:val="18"/>
          <w:szCs w:val="18"/>
        </w:rPr>
        <w:t>★★★★★★★★★★★★★★★★</w:t>
      </w:r>
      <w:r>
        <w:rPr>
          <w:rFonts w:ascii="ZapfDingbats" w:eastAsia="ZapfDingbats" w:hAnsi="FranklinGothic-Heavy" w:cs="ZapfDingbats"/>
          <w:color w:val="666666"/>
          <w:sz w:val="18"/>
          <w:szCs w:val="18"/>
        </w:rPr>
        <w:t xml:space="preserve"> </w:t>
      </w:r>
      <w:r>
        <w:rPr>
          <w:rFonts w:ascii="Bodoni-Bold" w:hAnsi="Bodoni-Bold" w:cs="Bodoni-Bold"/>
          <w:b/>
          <w:bCs/>
          <w:color w:val="000000"/>
          <w:sz w:val="32"/>
          <w:szCs w:val="32"/>
        </w:rPr>
        <w:t xml:space="preserve">Background of the Case </w:t>
      </w:r>
      <w:r>
        <w:rPr>
          <w:rFonts w:ascii="ZapfDingbats" w:eastAsia="ZapfDingbats" w:hAnsi="FranklinGothic-Heavy" w:cs="ZapfDingbats" w:hint="eastAsia"/>
          <w:color w:val="666666"/>
          <w:sz w:val="18"/>
          <w:szCs w:val="18"/>
        </w:rPr>
        <w:t>★★★★★★★★★★★★★★★★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</w:rPr>
      </w:pPr>
      <w:r>
        <w:rPr>
          <w:rFonts w:ascii="Minion-Regular" w:hAnsi="Minion-Regular" w:cs="Minion-Regular"/>
          <w:color w:val="000000"/>
        </w:rPr>
        <w:t>The election of 1800 transferred power in the federal government from the Federalist Party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to the Republican Party. In the closing days of President John Adams’s administration, the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Federalists created many new government offices, appointing Federalists to fill them. One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of the last-minute or “midnight” appointments was that of William Marbury. Marbury was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named a justice of the peace for the District of Columbia. President Adams had signed the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papers, but his secretary of state, John Marshall, somehow neglected to deliver the papers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necessary to finalize the appointment.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</w:rPr>
      </w:pP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</w:rPr>
      </w:pPr>
      <w:r>
        <w:rPr>
          <w:rFonts w:ascii="Minion-Regular" w:hAnsi="Minion-Regular" w:cs="Minion-Regular"/>
          <w:color w:val="000000"/>
        </w:rPr>
        <w:t>The new president, Thomas Jefferson, was angry at the defeated Federalists’ attempt to “keep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a dead clutch on the patronage” and ordered his new secretary of state, James Madison, not to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deliver Marbury’s commission papers. Marbury took his case to the Supreme Court, of which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 xml:space="preserve">John Marshall was now the Chief Justice, for a </w:t>
      </w:r>
      <w:r>
        <w:rPr>
          <w:rFonts w:ascii="Minion-Italic" w:hAnsi="Minion-Italic" w:cs="Minion-Italic"/>
          <w:i/>
          <w:iCs/>
          <w:color w:val="000000"/>
        </w:rPr>
        <w:t>writ of mandamus</w:t>
      </w:r>
      <w:r>
        <w:rPr>
          <w:rFonts w:ascii="Minion-Regular" w:hAnsi="Minion-Regular" w:cs="Minion-Regular"/>
          <w:color w:val="000000"/>
        </w:rPr>
        <w:t>—an order from a court that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some action be performed—commanding Madison to deliver the commission papers in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accordance with the Judiciary Act of 1789.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FranklinGothic-Heavy" w:cs="ZapfDingbats"/>
          <w:color w:val="666666"/>
          <w:sz w:val="18"/>
          <w:szCs w:val="18"/>
        </w:rPr>
      </w:pPr>
      <w:r>
        <w:rPr>
          <w:rFonts w:ascii="Shelley-AndanteScript" w:hAnsi="Shelley-AndanteScript" w:cs="Shelley-AndanteScript"/>
          <w:i/>
          <w:iCs/>
          <w:color w:val="000000"/>
          <w:sz w:val="80"/>
          <w:szCs w:val="80"/>
        </w:rPr>
        <w:t>C</w:t>
      </w:r>
      <w:r>
        <w:rPr>
          <w:rFonts w:ascii="Bodoni-Italic" w:hAnsi="Bodoni-Italic" w:cs="Bodoni-Italic"/>
          <w:i/>
          <w:iCs/>
          <w:color w:val="000000"/>
          <w:sz w:val="32"/>
          <w:szCs w:val="32"/>
        </w:rPr>
        <w:t xml:space="preserve">onstitutional Issue </w:t>
      </w:r>
      <w:r>
        <w:rPr>
          <w:rFonts w:ascii="ZapfDingbats" w:eastAsia="ZapfDingbats" w:hAnsi="FranklinGothic-Heavy" w:cs="ZapfDingbats" w:hint="eastAsia"/>
          <w:color w:val="666666"/>
          <w:sz w:val="18"/>
          <w:szCs w:val="18"/>
        </w:rPr>
        <w:t>★★★★★★★★★★★★★★★★★★★★★★★★★★★★★★★★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</w:rPr>
      </w:pPr>
      <w:r>
        <w:rPr>
          <w:rFonts w:ascii="Minion-Regular" w:hAnsi="Minion-Regular" w:cs="Minion-Regular"/>
          <w:color w:val="000000"/>
        </w:rPr>
        <w:t>Article III of the Constitution sets up the Supreme Court as the head of the federal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judicial system. Historians believe that the Founders meant the Court to have the power of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judicial review, that is, the power to review the constitutionality of acts of Congress and to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invalidate those that it determines to be unconstitutional. The Constitution, however, does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not specifically give the Court this right.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</w:rPr>
      </w:pP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</w:rPr>
      </w:pPr>
      <w:r>
        <w:rPr>
          <w:rFonts w:ascii="Minion-Regular" w:hAnsi="Minion-Regular" w:cs="Minion-Regular"/>
          <w:color w:val="000000"/>
        </w:rPr>
        <w:t>Chief Justice John Marshall, as a Federalist, believed strongly that the Supreme Court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 xml:space="preserve">should have the power of judicial </w:t>
      </w:r>
      <w:proofErr w:type="spellStart"/>
      <w:r>
        <w:rPr>
          <w:rFonts w:ascii="Minion-Regular" w:hAnsi="Minion-Regular" w:cs="Minion-Regular"/>
          <w:color w:val="000000"/>
        </w:rPr>
        <w:t>review.When</w:t>
      </w:r>
      <w:proofErr w:type="spellEnd"/>
      <w:r>
        <w:rPr>
          <w:rFonts w:ascii="Minion-Regular" w:hAnsi="Minion-Regular" w:cs="Minion-Regular"/>
          <w:color w:val="000000"/>
        </w:rPr>
        <w:t xml:space="preserve"> the </w:t>
      </w:r>
      <w:r>
        <w:rPr>
          <w:rFonts w:ascii="Minion-Italic" w:hAnsi="Minion-Italic" w:cs="Minion-Italic"/>
          <w:i/>
          <w:iCs/>
          <w:color w:val="000000"/>
        </w:rPr>
        <w:t xml:space="preserve">Marbury </w:t>
      </w:r>
      <w:r>
        <w:rPr>
          <w:rFonts w:ascii="Minion-Regular" w:hAnsi="Minion-Regular" w:cs="Minion-Regular"/>
          <w:color w:val="000000"/>
        </w:rPr>
        <w:t>case presented the perfect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opportunity to clearly establish that power, Marshall laid out several points which the court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believed supported the right of judicial review. At the time, the decision was viewed as a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curtailment of the power of the president, but people today recognize that the case established,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  <w:color w:val="000000"/>
        </w:rPr>
        <w:t>once and for all, the importance of the Supreme Court in American government.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ZapfDingbats" w:eastAsia="ZapfDingbats" w:hAnsi="FranklinGothic-Heavy" w:cs="ZapfDingbats"/>
          <w:color w:val="666666"/>
          <w:sz w:val="18"/>
          <w:szCs w:val="18"/>
        </w:rPr>
      </w:pPr>
      <w:r>
        <w:rPr>
          <w:rFonts w:ascii="ZapfDingbats" w:eastAsia="ZapfDingbats" w:hAnsi="FranklinGothic-Heavy" w:cs="ZapfDingbats" w:hint="eastAsia"/>
          <w:color w:val="666666"/>
          <w:sz w:val="18"/>
          <w:szCs w:val="18"/>
        </w:rPr>
        <w:t>★★★★★★★★★★★★★★</w:t>
      </w:r>
      <w:r>
        <w:rPr>
          <w:rFonts w:ascii="ZapfDingbats" w:eastAsia="ZapfDingbats" w:hAnsi="FranklinGothic-Heavy" w:cs="ZapfDingbats"/>
          <w:color w:val="666666"/>
          <w:sz w:val="18"/>
          <w:szCs w:val="18"/>
        </w:rPr>
        <w:t xml:space="preserve"> </w:t>
      </w:r>
      <w:r>
        <w:rPr>
          <w:rFonts w:ascii="Bodoni-Bold" w:hAnsi="Bodoni-Bold" w:cs="Bodoni-Bold"/>
          <w:b/>
          <w:bCs/>
          <w:color w:val="000000"/>
          <w:sz w:val="32"/>
          <w:szCs w:val="32"/>
        </w:rPr>
        <w:t xml:space="preserve">The Supreme Court’s Decision </w:t>
      </w:r>
      <w:r>
        <w:rPr>
          <w:rFonts w:ascii="ZapfDingbats" w:eastAsia="ZapfDingbats" w:hAnsi="FranklinGothic-Heavy" w:cs="ZapfDingbats" w:hint="eastAsia"/>
          <w:color w:val="666666"/>
          <w:sz w:val="18"/>
          <w:szCs w:val="18"/>
        </w:rPr>
        <w:t>★★★★★★★★★★★★★★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</w:rPr>
      </w:pPr>
      <w:r>
        <w:rPr>
          <w:rFonts w:ascii="Minion-Regular" w:hAnsi="Minion-Regular" w:cs="Minion-Regular"/>
          <w:color w:val="000000"/>
        </w:rPr>
        <w:t>Justice Marshall reviewed the case on the basis of three questions: Did Marbury have a right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Regular" w:hAnsi="Minion-Regular" w:cs="Minion-Regular"/>
          <w:color w:val="000000"/>
        </w:rPr>
        <w:t>to</w:t>
      </w:r>
      <w:proofErr w:type="gramEnd"/>
      <w:r>
        <w:rPr>
          <w:rFonts w:ascii="Minion-Regular" w:hAnsi="Minion-Regular" w:cs="Minion-Regular"/>
          <w:color w:val="000000"/>
        </w:rPr>
        <w:t xml:space="preserve"> the commission? If so, was he entitled to some remedy under United States law? Was that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Regular" w:hAnsi="Minion-Regular" w:cs="Minion-Regular"/>
          <w:color w:val="000000"/>
        </w:rPr>
        <w:t>remedy</w:t>
      </w:r>
      <w:proofErr w:type="gramEnd"/>
      <w:r>
        <w:rPr>
          <w:rFonts w:ascii="Minion-Regular" w:hAnsi="Minion-Regular" w:cs="Minion-Regular"/>
          <w:color w:val="000000"/>
        </w:rPr>
        <w:t xml:space="preserve"> a writ from the Supreme Court?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</w:rPr>
      </w:pP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</w:rPr>
      </w:pPr>
      <w:r>
        <w:rPr>
          <w:rFonts w:ascii="Minion-Regular" w:hAnsi="Minion-Regular" w:cs="Minion-Regular"/>
          <w:color w:val="000000"/>
        </w:rPr>
        <w:t>Marshall decided the first question by holding that an appointment is effective once a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color w:val="000000"/>
        </w:rPr>
      </w:pPr>
      <w:proofErr w:type="gramStart"/>
      <w:r>
        <w:rPr>
          <w:rFonts w:ascii="Minion-Regular" w:hAnsi="Minion-Regular" w:cs="Minion-Regular"/>
          <w:color w:val="000000"/>
        </w:rPr>
        <w:t>commission</w:t>
      </w:r>
      <w:proofErr w:type="gramEnd"/>
      <w:r>
        <w:rPr>
          <w:rFonts w:ascii="Minion-Regular" w:hAnsi="Minion-Regular" w:cs="Minion-Regular"/>
          <w:color w:val="000000"/>
        </w:rPr>
        <w:t xml:space="preserve"> has been signed and the U.S. seal affixed, as Marbury’s commission had been.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proofErr w:type="spellStart"/>
      <w:r>
        <w:rPr>
          <w:rFonts w:ascii="Minion-Regular" w:hAnsi="Minion-Regular" w:cs="Minion-Regular"/>
          <w:color w:val="000000"/>
        </w:rPr>
        <w:t>Therefore</w:t>
      </w:r>
      <w:proofErr w:type="gramStart"/>
      <w:r>
        <w:rPr>
          <w:rFonts w:ascii="Minion-Regular" w:hAnsi="Minion-Regular" w:cs="Minion-Regular"/>
          <w:color w:val="000000"/>
        </w:rPr>
        <w:t>,Marbury</w:t>
      </w:r>
      <w:proofErr w:type="spellEnd"/>
      <w:proofErr w:type="gramEnd"/>
      <w:r>
        <w:rPr>
          <w:rFonts w:ascii="Minion-Regular" w:hAnsi="Minion-Regular" w:cs="Minion-Regular"/>
          <w:color w:val="000000"/>
        </w:rPr>
        <w:t xml:space="preserve"> had been legally appointed, and Madison’s refusal to deliver the</w:t>
      </w:r>
      <w:r>
        <w:rPr>
          <w:rFonts w:ascii="Minion-Regular" w:hAnsi="Minion-Regular" w:cs="Minion-Regular"/>
          <w:color w:val="000000"/>
        </w:rPr>
        <w:t xml:space="preserve"> </w:t>
      </w:r>
      <w:r>
        <w:rPr>
          <w:rFonts w:ascii="Minion-Regular" w:hAnsi="Minion-Regular" w:cs="Minion-Regular"/>
        </w:rPr>
        <w:t xml:space="preserve">commission violated Marbury’s right to the appointment. 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In response to the second question,</w:t>
      </w:r>
      <w:r>
        <w:rPr>
          <w:rFonts w:ascii="Minion-Regular" w:hAnsi="Minion-Regular" w:cs="Minion-Regular"/>
        </w:rPr>
        <w:t xml:space="preserve"> </w:t>
      </w:r>
      <w:r>
        <w:rPr>
          <w:rFonts w:ascii="Minion-Regular" w:hAnsi="Minion-Regular" w:cs="Minion-Regular"/>
        </w:rPr>
        <w:t>Marshall held that Marbury was entitled to some remedy under United States law.</w:t>
      </w:r>
      <w:r>
        <w:rPr>
          <w:rFonts w:ascii="Minion-Regular" w:hAnsi="Minion-Regular" w:cs="Minion-Regular"/>
        </w:rPr>
        <w:t xml:space="preserve"> 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The final question examined whether the Court had the power to issue the writ.</w:t>
      </w:r>
      <w:r>
        <w:rPr>
          <w:rFonts w:ascii="Minion-Regular" w:hAnsi="Minion-Regular" w:cs="Minion-Regular"/>
        </w:rPr>
        <w:t xml:space="preserve"> </w:t>
      </w:r>
      <w:r>
        <w:rPr>
          <w:rFonts w:ascii="Minion-Regular" w:hAnsi="Minion-Regular" w:cs="Minion-Regular"/>
        </w:rPr>
        <w:t>Marshall</w:t>
      </w:r>
      <w:r>
        <w:rPr>
          <w:rFonts w:ascii="Minion-Regular" w:hAnsi="Minion-Regular" w:cs="Minion-Regular"/>
        </w:rPr>
        <w:t xml:space="preserve"> </w:t>
      </w:r>
      <w:r>
        <w:rPr>
          <w:rFonts w:ascii="Minion-Regular" w:hAnsi="Minion-Regular" w:cs="Minion-Regular"/>
        </w:rPr>
        <w:t>explained that the right to issue writs like the one Marbury was requesting had been granted</w:t>
      </w:r>
      <w:r>
        <w:rPr>
          <w:rFonts w:ascii="Minion-Regular" w:hAnsi="Minion-Regular" w:cs="Minion-Regular"/>
        </w:rPr>
        <w:t xml:space="preserve"> </w:t>
      </w:r>
      <w:r>
        <w:rPr>
          <w:rFonts w:ascii="Minion-Regular" w:hAnsi="Minion-Regular" w:cs="Minion-Regular"/>
        </w:rPr>
        <w:t>the Court by the Judiciary Act of 1789. This law, however, was unconstitutional and void</w:t>
      </w:r>
      <w:r>
        <w:rPr>
          <w:rFonts w:ascii="Minion-Regular" w:hAnsi="Minion-Regular" w:cs="Minion-Regular"/>
        </w:rPr>
        <w:t xml:space="preserve"> </w:t>
      </w:r>
      <w:r>
        <w:rPr>
          <w:rFonts w:ascii="Minion-Regular" w:hAnsi="Minion-Regular" w:cs="Minion-Regular"/>
        </w:rPr>
        <w:t>because the Constitution did not grant Congress the right to make such a law. In his written</w:t>
      </w:r>
      <w:r>
        <w:rPr>
          <w:rFonts w:ascii="Minion-Regular" w:hAnsi="Minion-Regular" w:cs="Minion-Regular"/>
        </w:rPr>
        <w:t xml:space="preserve"> </w:t>
      </w:r>
      <w:r>
        <w:rPr>
          <w:rFonts w:ascii="Minion-Regular" w:hAnsi="Minion-Regular" w:cs="Minion-Regular"/>
        </w:rPr>
        <w:t>opinion, Marshall defended the right of the Court to declare a law unconstitutional: “It is</w:t>
      </w:r>
      <w:r>
        <w:rPr>
          <w:rFonts w:ascii="Minion-Regular" w:hAnsi="Minion-Regular" w:cs="Minion-Regular"/>
        </w:rPr>
        <w:t xml:space="preserve"> </w:t>
      </w:r>
      <w:r>
        <w:rPr>
          <w:rFonts w:ascii="Minion-Regular" w:hAnsi="Minion-Regular" w:cs="Minion-Regular"/>
        </w:rPr>
        <w:t>emphatically the province and duty of the judicial department to say what the law is . . . . If</w:t>
      </w:r>
      <w:r>
        <w:rPr>
          <w:rFonts w:ascii="Minion-Regular" w:hAnsi="Minion-Regular" w:cs="Minion-Regular"/>
        </w:rPr>
        <w:t xml:space="preserve"> </w:t>
      </w:r>
      <w:r>
        <w:rPr>
          <w:rFonts w:ascii="Minion-Regular" w:hAnsi="Minion-Regular" w:cs="Minion-Regular"/>
        </w:rPr>
        <w:t xml:space="preserve">two laws conflict with each other, the courts must decide on the operation of </w:t>
      </w:r>
      <w:r>
        <w:rPr>
          <w:rFonts w:ascii="Minion-Regular" w:hAnsi="Minion-Regular" w:cs="Minion-Regular"/>
        </w:rPr>
        <w:lastRenderedPageBreak/>
        <w:t>each.” The</w:t>
      </w:r>
      <w:r>
        <w:rPr>
          <w:rFonts w:ascii="Minion-Regular" w:hAnsi="Minion-Regular" w:cs="Minion-Regular"/>
        </w:rPr>
        <w:t xml:space="preserve"> </w:t>
      </w:r>
      <w:r>
        <w:rPr>
          <w:rFonts w:ascii="Minion-Regular" w:hAnsi="Minion-Regular" w:cs="Minion-Regular"/>
        </w:rPr>
        <w:t>Supreme Court thus became the final judge of constitutionality, thus establishing the principle</w:t>
      </w:r>
      <w:r>
        <w:rPr>
          <w:rFonts w:ascii="Minion-Regular" w:hAnsi="Minion-Regular" w:cs="Minion-Regular"/>
        </w:rPr>
        <w:t xml:space="preserve"> </w:t>
      </w:r>
      <w:r>
        <w:rPr>
          <w:rFonts w:ascii="Minion-Regular" w:hAnsi="Minion-Regular" w:cs="Minion-Regular"/>
        </w:rPr>
        <w:t>of judicial review.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At the time, observers were much more interested in the practical result of the ruling—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proofErr w:type="gramStart"/>
      <w:r>
        <w:rPr>
          <w:rFonts w:ascii="Minion-Regular" w:hAnsi="Minion-Regular" w:cs="Minion-Regular"/>
        </w:rPr>
        <w:t>that</w:t>
      </w:r>
      <w:proofErr w:type="gramEnd"/>
      <w:r>
        <w:rPr>
          <w:rFonts w:ascii="Minion-Regular" w:hAnsi="Minion-Regular" w:cs="Minion-Regular"/>
        </w:rPr>
        <w:t xml:space="preserve"> the Court could not issue the writ, and could not, therefore, force the appointment of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Marbury. Congress could not expand the Court’s original jurisdiction, and the Constitution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proofErr w:type="gramStart"/>
      <w:r>
        <w:rPr>
          <w:rFonts w:ascii="Minion-Regular" w:hAnsi="Minion-Regular" w:cs="Minion-Regular"/>
        </w:rPr>
        <w:t>does</w:t>
      </w:r>
      <w:proofErr w:type="gramEnd"/>
      <w:r>
        <w:rPr>
          <w:rFonts w:ascii="Minion-Regular" w:hAnsi="Minion-Regular" w:cs="Minion-Regular"/>
        </w:rPr>
        <w:t xml:space="preserve"> not give the Court the authority to issue a writ. They paid much less attention to the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proofErr w:type="gramStart"/>
      <w:r>
        <w:rPr>
          <w:rFonts w:ascii="Minion-Regular" w:hAnsi="Minion-Regular" w:cs="Minion-Regular"/>
        </w:rPr>
        <w:t>long-term</w:t>
      </w:r>
      <w:proofErr w:type="gramEnd"/>
      <w:r>
        <w:rPr>
          <w:rFonts w:ascii="Minion-Regular" w:hAnsi="Minion-Regular" w:cs="Minion-Regular"/>
        </w:rPr>
        <w:t xml:space="preserve"> implications of the decision. 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Here is how a constitutional scholar evaluates the</w:t>
      </w:r>
      <w:r>
        <w:rPr>
          <w:rFonts w:ascii="Minion-Regular" w:hAnsi="Minion-Regular" w:cs="Minion-Regular"/>
        </w:rPr>
        <w:t xml:space="preserve"> </w:t>
      </w:r>
      <w:r>
        <w:rPr>
          <w:rFonts w:ascii="Minion-Italic" w:hAnsi="Minion-Italic" w:cs="Minion-Italic"/>
          <w:i/>
          <w:iCs/>
        </w:rPr>
        <w:t xml:space="preserve">Marbury </w:t>
      </w:r>
      <w:r>
        <w:rPr>
          <w:rFonts w:ascii="Minion-Regular" w:hAnsi="Minion-Regular" w:cs="Minion-Regular"/>
        </w:rPr>
        <w:t>decision: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“Over the passage of time [the] </w:t>
      </w:r>
      <w:r>
        <w:rPr>
          <w:rFonts w:ascii="Minion-Italic" w:hAnsi="Minion-Italic" w:cs="Minion-Italic"/>
          <w:i/>
          <w:iCs/>
        </w:rPr>
        <w:t xml:space="preserve">Marbury </w:t>
      </w:r>
      <w:r>
        <w:rPr>
          <w:rFonts w:ascii="Minion-Regular" w:hAnsi="Minion-Regular" w:cs="Minion-Regular"/>
        </w:rPr>
        <w:t>[decision] came to stand for the monumental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proofErr w:type="gramStart"/>
      <w:r>
        <w:rPr>
          <w:rFonts w:ascii="Minion-Regular" w:hAnsi="Minion-Regular" w:cs="Minion-Regular"/>
        </w:rPr>
        <w:t>principle</w:t>
      </w:r>
      <w:proofErr w:type="gramEnd"/>
      <w:r>
        <w:rPr>
          <w:rFonts w:ascii="Minion-Regular" w:hAnsi="Minion-Regular" w:cs="Minion-Regular"/>
        </w:rPr>
        <w:t>, so distinctive and dominant a feature of our constitutional system, that the Court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proofErr w:type="gramStart"/>
      <w:r>
        <w:rPr>
          <w:rFonts w:ascii="Minion-Regular" w:hAnsi="Minion-Regular" w:cs="Minion-Regular"/>
        </w:rPr>
        <w:t>may</w:t>
      </w:r>
      <w:proofErr w:type="gramEnd"/>
      <w:r>
        <w:rPr>
          <w:rFonts w:ascii="Minion-Regular" w:hAnsi="Minion-Regular" w:cs="Minion-Regular"/>
        </w:rPr>
        <w:t xml:space="preserve"> bind the coordinate branches of the national government to its rulings on what is the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proofErr w:type="gramStart"/>
      <w:r>
        <w:rPr>
          <w:rFonts w:ascii="Minion-Regular" w:hAnsi="Minion-Regular" w:cs="Minion-Regular"/>
        </w:rPr>
        <w:t>supreme</w:t>
      </w:r>
      <w:proofErr w:type="gramEnd"/>
      <w:r>
        <w:rPr>
          <w:rFonts w:ascii="Minion-Regular" w:hAnsi="Minion-Regular" w:cs="Minion-Regular"/>
        </w:rPr>
        <w:t xml:space="preserve"> law of the land. That principle stands out from </w:t>
      </w:r>
      <w:r>
        <w:rPr>
          <w:rFonts w:ascii="Minion-Italic" w:hAnsi="Minion-Italic" w:cs="Minion-Italic"/>
          <w:i/>
          <w:iCs/>
        </w:rPr>
        <w:t xml:space="preserve">Marbury </w:t>
      </w:r>
      <w:r>
        <w:rPr>
          <w:rFonts w:ascii="Minion-Regular" w:hAnsi="Minion-Regular" w:cs="Minion-Regular"/>
        </w:rPr>
        <w:t>like the grin on a Cheshire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proofErr w:type="gramStart"/>
      <w:r>
        <w:rPr>
          <w:rFonts w:ascii="Minion-Regular" w:hAnsi="Minion-Regular" w:cs="Minion-Regular"/>
        </w:rPr>
        <w:t>cat</w:t>
      </w:r>
      <w:proofErr w:type="gramEnd"/>
      <w:r>
        <w:rPr>
          <w:rFonts w:ascii="Minion-Regular" w:hAnsi="Minion-Regular" w:cs="Minion-Regular"/>
        </w:rPr>
        <w:t>; all else, which preoccupied national attention in 1803, disappeared in our constitutional law.”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 xml:space="preserve">Not until fifty years after rendering the </w:t>
      </w:r>
      <w:r>
        <w:rPr>
          <w:rFonts w:ascii="Minion-Italic" w:hAnsi="Minion-Italic" w:cs="Minion-Italic"/>
          <w:i/>
          <w:iCs/>
        </w:rPr>
        <w:t xml:space="preserve">Marbury </w:t>
      </w:r>
      <w:r>
        <w:rPr>
          <w:rFonts w:ascii="Minion-Regular" w:hAnsi="Minion-Regular" w:cs="Minion-Regular"/>
        </w:rPr>
        <w:t>decision did the Court again declare a law</w:t>
      </w:r>
    </w:p>
    <w:p w:rsidR="00286A1C" w:rsidRDefault="0065459E" w:rsidP="0065459E">
      <w:pPr>
        <w:rPr>
          <w:rFonts w:ascii="Minion-Regular" w:hAnsi="Minion-Regular" w:cs="Minion-Regular"/>
        </w:rPr>
      </w:pPr>
      <w:proofErr w:type="gramStart"/>
      <w:r>
        <w:rPr>
          <w:rFonts w:ascii="Minion-Regular" w:hAnsi="Minion-Regular" w:cs="Minion-Regular"/>
        </w:rPr>
        <w:t>unconstitutional</w:t>
      </w:r>
      <w:proofErr w:type="gramEnd"/>
      <w:r>
        <w:rPr>
          <w:rFonts w:ascii="Minion-Regular" w:hAnsi="Minion-Regular" w:cs="Minion-Regular"/>
        </w:rPr>
        <w:t>, but by then the idea of judicial review had become a time-honored principle.</w:t>
      </w:r>
    </w:p>
    <w:p w:rsidR="0065459E" w:rsidRDefault="0065459E" w:rsidP="0065459E">
      <w:pPr>
        <w:rPr>
          <w:rFonts w:ascii="Minion-Regular" w:hAnsi="Minion-Regular" w:cs="Minion-Regular"/>
        </w:rPr>
      </w:pP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FranklinGothic-Heavy" w:hAnsi="FranklinGothic-Heavy" w:cs="FranklinGothic-Heavy"/>
        </w:rPr>
        <w:t xml:space="preserve">DIRECTIONS: </w:t>
      </w:r>
      <w:r>
        <w:rPr>
          <w:rFonts w:ascii="Minion-Regular" w:hAnsi="Minion-Regular" w:cs="Minion-Regular"/>
        </w:rPr>
        <w:t xml:space="preserve">Answer the following questions on a </w:t>
      </w:r>
      <w:r w:rsidRPr="0065459E">
        <w:rPr>
          <w:rFonts w:ascii="Minion-Regular" w:hAnsi="Minion-Regular" w:cs="Minion-Regular"/>
          <w:b/>
        </w:rPr>
        <w:t>separate</w:t>
      </w:r>
      <w:r>
        <w:rPr>
          <w:rFonts w:ascii="Minion-Regular" w:hAnsi="Minion-Regular" w:cs="Minion-Regular"/>
        </w:rPr>
        <w:t xml:space="preserve"> sheet of paper.</w:t>
      </w:r>
      <w:r>
        <w:rPr>
          <w:rFonts w:ascii="Minion-Regular" w:hAnsi="Minion-Regular" w:cs="Minion-Regular"/>
        </w:rPr>
        <w:t xml:space="preserve"> Be complete AND thorough!!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</w:rPr>
      </w:pP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FranklinGothic-Heavy" w:hAnsi="FranklinGothic-Heavy" w:cs="FranklinGothic-Heavy"/>
        </w:rPr>
        <w:t xml:space="preserve">1. </w:t>
      </w:r>
      <w:r w:rsidRPr="0065459E">
        <w:rPr>
          <w:rFonts w:ascii="Minion-Regular" w:hAnsi="Minion-Regular" w:cs="Minion-Regular"/>
          <w:b/>
        </w:rPr>
        <w:t>Why</w:t>
      </w:r>
      <w:r>
        <w:rPr>
          <w:rFonts w:ascii="Minion-Regular" w:hAnsi="Minion-Regular" w:cs="Minion-Regular"/>
        </w:rPr>
        <w:t xml:space="preserve"> is the </w:t>
      </w:r>
      <w:r>
        <w:rPr>
          <w:rFonts w:ascii="Minion-Italic" w:hAnsi="Minion-Italic" w:cs="Minion-Italic"/>
          <w:i/>
          <w:iCs/>
        </w:rPr>
        <w:t xml:space="preserve">Marbury </w:t>
      </w:r>
      <w:r>
        <w:rPr>
          <w:rFonts w:ascii="Minion-Regular" w:hAnsi="Minion-Regular" w:cs="Minion-Regular"/>
        </w:rPr>
        <w:t>case important in the history of the Supreme Court?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</w:rPr>
      </w:pP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FranklinGothic-Heavy" w:hAnsi="FranklinGothic-Heavy" w:cs="FranklinGothic-Heavy"/>
        </w:rPr>
        <w:t xml:space="preserve">2. </w:t>
      </w:r>
      <w:r>
        <w:rPr>
          <w:rFonts w:ascii="Minion-Regular" w:hAnsi="Minion-Regular" w:cs="Minion-Regular"/>
        </w:rPr>
        <w:t xml:space="preserve">In what way did the </w:t>
      </w:r>
      <w:r>
        <w:rPr>
          <w:rFonts w:ascii="Minion-Italic" w:hAnsi="Minion-Italic" w:cs="Minion-Italic"/>
          <w:i/>
          <w:iCs/>
        </w:rPr>
        <w:t xml:space="preserve">Marbury </w:t>
      </w:r>
      <w:r>
        <w:rPr>
          <w:rFonts w:ascii="Minion-Regular" w:hAnsi="Minion-Regular" w:cs="Minion-Regular"/>
        </w:rPr>
        <w:t>decision enhance the system of checks and balances provided for in the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Minion-Regular" w:hAnsi="Minion-Regular" w:cs="Minion-Regular"/>
        </w:rPr>
        <w:t>Constitution?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</w:rPr>
      </w:pP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FranklinGothic-Heavy" w:hAnsi="FranklinGothic-Heavy" w:cs="FranklinGothic-Heavy"/>
        </w:rPr>
        <w:t xml:space="preserve">3. </w:t>
      </w:r>
      <w:r>
        <w:rPr>
          <w:rFonts w:ascii="Minion-Regular" w:hAnsi="Minion-Regular" w:cs="Minion-Regular"/>
        </w:rPr>
        <w:t>Constitutional scholars have pointed out there is an inconsistency in Justice Marshall’s opinion with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proofErr w:type="gramStart"/>
      <w:r>
        <w:rPr>
          <w:rFonts w:ascii="Minion-Regular" w:hAnsi="Minion-Regular" w:cs="Minion-Regular"/>
        </w:rPr>
        <w:t>respect</w:t>
      </w:r>
      <w:proofErr w:type="gramEnd"/>
      <w:r>
        <w:rPr>
          <w:rFonts w:ascii="Minion-Regular" w:hAnsi="Minion-Regular" w:cs="Minion-Regular"/>
        </w:rPr>
        <w:t xml:space="preserve"> to what the Constitution specifically provides.</w:t>
      </w:r>
      <w:r>
        <w:rPr>
          <w:rFonts w:ascii="Minion-Regular" w:hAnsi="Minion-Regular" w:cs="Minion-Regular"/>
        </w:rPr>
        <w:t xml:space="preserve"> </w:t>
      </w:r>
      <w:r>
        <w:rPr>
          <w:rFonts w:ascii="Minion-Regular" w:hAnsi="Minion-Regular" w:cs="Minion-Regular"/>
        </w:rPr>
        <w:t>What is that inconsistency?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</w:rPr>
      </w:pP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FranklinGothic-Heavy" w:hAnsi="FranklinGothic-Heavy" w:cs="FranklinGothic-Heavy"/>
        </w:rPr>
        <w:t xml:space="preserve">4. </w:t>
      </w:r>
      <w:r>
        <w:rPr>
          <w:rFonts w:ascii="Minion-Regular" w:hAnsi="Minion-Regular" w:cs="Minion-Regular"/>
        </w:rPr>
        <w:t>The United States is one of the few countries in which the highest court of the land has the power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proofErr w:type="gramStart"/>
      <w:r>
        <w:rPr>
          <w:rFonts w:ascii="Minion-Regular" w:hAnsi="Minion-Regular" w:cs="Minion-Regular"/>
        </w:rPr>
        <w:t>to</w:t>
      </w:r>
      <w:proofErr w:type="gramEnd"/>
      <w:r>
        <w:rPr>
          <w:rFonts w:ascii="Minion-Regular" w:hAnsi="Minion-Regular" w:cs="Minion-Regular"/>
        </w:rPr>
        <w:t xml:space="preserve"> declare a law unconstitutional. Do you believe that such a power is of benefit to a country?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 w:rsidRPr="0065459E">
        <w:rPr>
          <w:rFonts w:ascii="Minion-Regular" w:hAnsi="Minion-Regular" w:cs="Minion-Regular"/>
          <w:b/>
        </w:rPr>
        <w:t>Explain</w:t>
      </w:r>
      <w:r>
        <w:rPr>
          <w:rFonts w:ascii="Minion-Regular" w:hAnsi="Minion-Regular" w:cs="Minion-Regular"/>
        </w:rPr>
        <w:t xml:space="preserve"> your answer.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</w:rPr>
      </w:pP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r>
        <w:rPr>
          <w:rFonts w:ascii="FranklinGothic-Heavy" w:hAnsi="FranklinGothic-Heavy" w:cs="FranklinGothic-Heavy"/>
        </w:rPr>
        <w:t xml:space="preserve">5. </w:t>
      </w:r>
      <w:r>
        <w:rPr>
          <w:rFonts w:ascii="Minion-Regular" w:hAnsi="Minion-Regular" w:cs="Minion-Regular"/>
        </w:rPr>
        <w:t>Justice John Marshall was a Federalist who believed in a strong national government and certainly</w:t>
      </w:r>
    </w:p>
    <w:p w:rsidR="0065459E" w:rsidRDefault="0065459E" w:rsidP="0065459E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</w:rPr>
      </w:pPr>
      <w:proofErr w:type="gramStart"/>
      <w:r>
        <w:rPr>
          <w:rFonts w:ascii="Minion-Regular" w:hAnsi="Minion-Regular" w:cs="Minion-Regular"/>
        </w:rPr>
        <w:t>moved</w:t>
      </w:r>
      <w:proofErr w:type="gramEnd"/>
      <w:r>
        <w:rPr>
          <w:rFonts w:ascii="Minion-Regular" w:hAnsi="Minion-Regular" w:cs="Minion-Regular"/>
        </w:rPr>
        <w:t xml:space="preserve"> in this direction with his </w:t>
      </w:r>
      <w:r>
        <w:rPr>
          <w:rFonts w:ascii="Minion-Italic" w:hAnsi="Minion-Italic" w:cs="Minion-Italic"/>
          <w:i/>
          <w:iCs/>
        </w:rPr>
        <w:t xml:space="preserve">Marbury </w:t>
      </w:r>
      <w:r>
        <w:rPr>
          <w:rFonts w:ascii="Minion-Regular" w:hAnsi="Minion-Regular" w:cs="Minion-Regular"/>
        </w:rPr>
        <w:t xml:space="preserve">ruling. Do you think it is proper for a Supreme Court </w:t>
      </w:r>
      <w:proofErr w:type="gramStart"/>
      <w:r>
        <w:rPr>
          <w:rFonts w:ascii="Minion-Regular" w:hAnsi="Minion-Regular" w:cs="Minion-Regular"/>
        </w:rPr>
        <w:t>Justice</w:t>
      </w:r>
      <w:proofErr w:type="gramEnd"/>
    </w:p>
    <w:p w:rsidR="0065459E" w:rsidRDefault="0065459E" w:rsidP="0065459E">
      <w:proofErr w:type="gramStart"/>
      <w:r>
        <w:rPr>
          <w:rFonts w:ascii="Minion-Regular" w:hAnsi="Minion-Regular" w:cs="Minion-Regular"/>
        </w:rPr>
        <w:t>to</w:t>
      </w:r>
      <w:proofErr w:type="gramEnd"/>
      <w:r>
        <w:rPr>
          <w:rFonts w:ascii="Minion-Regular" w:hAnsi="Minion-Regular" w:cs="Minion-Regular"/>
        </w:rPr>
        <w:t xml:space="preserve"> allow his or her personal political opinions to influence the rulings of the Court? </w:t>
      </w:r>
      <w:r w:rsidRPr="0065459E">
        <w:rPr>
          <w:rFonts w:ascii="Minion-Regular" w:hAnsi="Minion-Regular" w:cs="Minion-Regular"/>
          <w:b/>
        </w:rPr>
        <w:t>Explain</w:t>
      </w:r>
      <w:r>
        <w:rPr>
          <w:rFonts w:ascii="Minion-Regular" w:hAnsi="Minion-Regular" w:cs="Minion-Regular"/>
        </w:rPr>
        <w:t>.</w:t>
      </w:r>
    </w:p>
    <w:sectPr w:rsidR="0065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Heavy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doni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helley-AndanteScri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9E"/>
    <w:rsid w:val="00104AF9"/>
    <w:rsid w:val="0065459E"/>
    <w:rsid w:val="008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87E6B-F72E-487D-9E86-17EDBC5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dcterms:created xsi:type="dcterms:W3CDTF">2017-02-01T12:26:00Z</dcterms:created>
  <dcterms:modified xsi:type="dcterms:W3CDTF">2017-02-01T12:33:00Z</dcterms:modified>
</cp:coreProperties>
</file>